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C1" w:rsidRDefault="00E32A8D" w:rsidP="00B7358E">
      <w:pPr>
        <w:pStyle w:val="Heading1"/>
        <w:jc w:val="center"/>
      </w:pPr>
      <w:r w:rsidRPr="00E32A8D">
        <w:t>Preliminary Matters:</w:t>
      </w:r>
    </w:p>
    <w:p w:rsidR="00B7358E" w:rsidRPr="00B7358E" w:rsidRDefault="00B7358E" w:rsidP="00B7358E">
      <w:pPr>
        <w:spacing w:after="0"/>
      </w:pPr>
    </w:p>
    <w:p w:rsidR="00E32A8D" w:rsidRDefault="00E32A8D" w:rsidP="00E32A8D">
      <w:pPr>
        <w:rPr>
          <w:b/>
          <w:sz w:val="28"/>
          <w:szCs w:val="28"/>
        </w:rPr>
      </w:pPr>
      <w:r w:rsidRPr="00E32A8D">
        <w:rPr>
          <w:b/>
          <w:sz w:val="28"/>
          <w:szCs w:val="28"/>
        </w:rPr>
        <w:t>Rulings on Objections:</w:t>
      </w:r>
      <w:r w:rsidR="00B61590">
        <w:rPr>
          <w:b/>
          <w:sz w:val="28"/>
          <w:szCs w:val="28"/>
        </w:rPr>
        <w:t xml:space="preserve"> </w:t>
      </w:r>
    </w:p>
    <w:p w:rsidR="00B61590" w:rsidRPr="00B61590" w:rsidRDefault="00B61590" w:rsidP="00E32A8D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ab/>
      </w:r>
      <w:r w:rsidRPr="00B61590">
        <w:rPr>
          <w:b/>
          <w:sz w:val="24"/>
          <w:szCs w:val="24"/>
        </w:rPr>
        <w:t xml:space="preserve">Letter dated: </w:t>
      </w:r>
      <w:r w:rsidRPr="00B61590">
        <w:rPr>
          <w:b/>
          <w:sz w:val="24"/>
          <w:szCs w:val="24"/>
          <w:u w:val="single"/>
        </w:rPr>
        <w:tab/>
      </w:r>
      <w:r w:rsidRPr="00B61590">
        <w:rPr>
          <w:b/>
          <w:sz w:val="24"/>
          <w:szCs w:val="24"/>
          <w:u w:val="single"/>
        </w:rPr>
        <w:tab/>
      </w:r>
      <w:r w:rsidRPr="00B61590">
        <w:rPr>
          <w:b/>
          <w:sz w:val="24"/>
          <w:szCs w:val="24"/>
          <w:u w:val="single"/>
        </w:rPr>
        <w:tab/>
      </w:r>
      <w:r w:rsidRPr="00B61590">
        <w:rPr>
          <w:b/>
          <w:sz w:val="24"/>
          <w:szCs w:val="24"/>
          <w:u w:val="single"/>
        </w:rPr>
        <w:tab/>
      </w:r>
      <w:r w:rsidRPr="00B61590">
        <w:rPr>
          <w:b/>
          <w:sz w:val="24"/>
          <w:szCs w:val="24"/>
        </w:rPr>
        <w:t xml:space="preserve">   Exhibit: </w:t>
      </w:r>
      <w:r w:rsidRPr="00B61590">
        <w:rPr>
          <w:b/>
          <w:sz w:val="24"/>
          <w:szCs w:val="24"/>
          <w:u w:val="single"/>
        </w:rPr>
        <w:tab/>
      </w:r>
      <w:r w:rsidRPr="00B61590">
        <w:rPr>
          <w:b/>
          <w:sz w:val="24"/>
          <w:szCs w:val="24"/>
          <w:u w:val="single"/>
        </w:rPr>
        <w:tab/>
      </w:r>
    </w:p>
    <w:p w:rsidR="00E32A8D" w:rsidRDefault="00E32A8D" w:rsidP="00AE0C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32A8D">
        <w:rPr>
          <w:sz w:val="24"/>
          <w:szCs w:val="24"/>
        </w:rPr>
        <w:t>Objection. No regulations have heretofore been promulgated by which the Commissioner can appropriately exercise statutory authority under 42 U.S.C. §405(u).</w:t>
      </w:r>
    </w:p>
    <w:p w:rsidR="00E32A8D" w:rsidRPr="00BA65DF" w:rsidRDefault="00BA65DF" w:rsidP="00AE0C48">
      <w:pPr>
        <w:spacing w:after="0" w:line="360" w:lineRule="auto"/>
        <w:ind w:left="21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Ruling: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E32A8D" w:rsidRDefault="00E32A8D" w:rsidP="008A1A9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32A8D">
        <w:rPr>
          <w:sz w:val="24"/>
          <w:szCs w:val="24"/>
        </w:rPr>
        <w:t>Objection:  This proceeding is an improper reopening of a final decision that determined the claimant is entitled to receive disability benefits.</w:t>
      </w:r>
    </w:p>
    <w:p w:rsidR="00E32A8D" w:rsidRPr="00E32A8D" w:rsidRDefault="00BA65DF" w:rsidP="00AE0C48">
      <w:pPr>
        <w:pStyle w:val="ListParagraph"/>
        <w:spacing w:after="0" w:line="360" w:lineRule="auto"/>
        <w:ind w:left="2160"/>
        <w:jc w:val="both"/>
        <w:rPr>
          <w:sz w:val="24"/>
          <w:szCs w:val="24"/>
        </w:rPr>
      </w:pPr>
      <w:r w:rsidRPr="00BA65DF">
        <w:rPr>
          <w:sz w:val="24"/>
          <w:szCs w:val="24"/>
        </w:rPr>
        <w:t>Ruling:</w:t>
      </w:r>
      <w:r w:rsidRPr="00BA65DF"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BA65DF">
        <w:rPr>
          <w:sz w:val="24"/>
          <w:szCs w:val="24"/>
        </w:rPr>
        <w:tab/>
      </w:r>
      <w:r w:rsidRPr="00BA65DF">
        <w:rPr>
          <w:sz w:val="24"/>
          <w:szCs w:val="24"/>
        </w:rPr>
        <w:tab/>
      </w:r>
    </w:p>
    <w:p w:rsidR="00E32A8D" w:rsidRDefault="00E32A8D" w:rsidP="008A1A96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E32A8D">
        <w:rPr>
          <w:sz w:val="24"/>
          <w:szCs w:val="24"/>
        </w:rPr>
        <w:t xml:space="preserve">Objection: The Commissioner may not act in a manner adverse to the claimant under the authority of 42 U.S.C. §405(u) because her action is not timely. </w:t>
      </w:r>
    </w:p>
    <w:p w:rsidR="00E32A8D" w:rsidRDefault="00BA65DF" w:rsidP="00AE0C48">
      <w:pPr>
        <w:spacing w:after="0" w:line="480" w:lineRule="auto"/>
        <w:ind w:left="2160"/>
        <w:rPr>
          <w:sz w:val="24"/>
          <w:szCs w:val="24"/>
          <w:u w:val="single"/>
        </w:rPr>
      </w:pPr>
      <w:r w:rsidRPr="00BA65DF">
        <w:rPr>
          <w:sz w:val="24"/>
          <w:szCs w:val="24"/>
        </w:rPr>
        <w:t>Ruling:</w:t>
      </w:r>
      <w:r w:rsidRPr="00BA65DF">
        <w:rPr>
          <w:sz w:val="24"/>
          <w:szCs w:val="24"/>
        </w:rPr>
        <w:tab/>
      </w:r>
      <w:r w:rsidRPr="00BA65DF">
        <w:rPr>
          <w:sz w:val="24"/>
          <w:szCs w:val="24"/>
          <w:u w:val="single"/>
        </w:rPr>
        <w:tab/>
      </w:r>
      <w:r w:rsidRPr="00BA65DF">
        <w:rPr>
          <w:sz w:val="24"/>
          <w:szCs w:val="24"/>
          <w:u w:val="single"/>
        </w:rPr>
        <w:tab/>
      </w:r>
      <w:r w:rsidRPr="00BA65DF">
        <w:rPr>
          <w:sz w:val="24"/>
          <w:szCs w:val="24"/>
          <w:u w:val="single"/>
        </w:rPr>
        <w:tab/>
      </w:r>
      <w:r w:rsidRPr="00BA65DF">
        <w:rPr>
          <w:sz w:val="24"/>
          <w:szCs w:val="24"/>
          <w:u w:val="single"/>
        </w:rPr>
        <w:tab/>
      </w:r>
      <w:r w:rsidRPr="00BA65DF">
        <w:rPr>
          <w:sz w:val="24"/>
          <w:szCs w:val="24"/>
          <w:u w:val="single"/>
        </w:rPr>
        <w:tab/>
      </w:r>
      <w:r w:rsidRPr="00BA65DF">
        <w:rPr>
          <w:sz w:val="24"/>
          <w:szCs w:val="24"/>
          <w:u w:val="single"/>
        </w:rPr>
        <w:tab/>
      </w:r>
      <w:r w:rsidRPr="00BA65DF">
        <w:rPr>
          <w:sz w:val="24"/>
          <w:szCs w:val="24"/>
          <w:u w:val="single"/>
        </w:rPr>
        <w:tab/>
      </w:r>
    </w:p>
    <w:p w:rsidR="00B7358E" w:rsidRPr="00490074" w:rsidRDefault="00B7358E" w:rsidP="00490074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  <w:u w:val="single"/>
        </w:rPr>
      </w:pPr>
      <w:r w:rsidRPr="00490074">
        <w:rPr>
          <w:sz w:val="24"/>
          <w:szCs w:val="24"/>
        </w:rPr>
        <w:t xml:space="preserve">Objection: The Notice of Hearing is improper in that it precludes consideration of issues </w:t>
      </w:r>
      <w:r w:rsidR="00490074" w:rsidRPr="00490074">
        <w:rPr>
          <w:sz w:val="24"/>
          <w:szCs w:val="24"/>
        </w:rPr>
        <w:t>in violation of 20 C.F.R § 404.946</w:t>
      </w:r>
      <w:r w:rsidR="00490074">
        <w:rPr>
          <w:sz w:val="24"/>
          <w:szCs w:val="24"/>
        </w:rPr>
        <w:t>.</w:t>
      </w:r>
      <w:r w:rsidR="00490074" w:rsidRPr="00490074">
        <w:rPr>
          <w:sz w:val="24"/>
          <w:szCs w:val="24"/>
        </w:rPr>
        <w:t xml:space="preserve"> </w:t>
      </w:r>
    </w:p>
    <w:p w:rsidR="00B7358E" w:rsidRPr="00B7358E" w:rsidRDefault="00B7358E" w:rsidP="00B7358E">
      <w:pPr>
        <w:spacing w:after="0" w:line="480" w:lineRule="auto"/>
        <w:ind w:left="1440" w:firstLine="720"/>
        <w:jc w:val="both"/>
        <w:rPr>
          <w:sz w:val="24"/>
          <w:szCs w:val="24"/>
          <w:u w:val="single"/>
        </w:rPr>
      </w:pPr>
      <w:bookmarkStart w:id="0" w:name="_GoBack"/>
      <w:bookmarkEnd w:id="0"/>
      <w:r w:rsidRPr="00B7358E">
        <w:rPr>
          <w:sz w:val="24"/>
          <w:szCs w:val="24"/>
        </w:rPr>
        <w:t>Ruling:</w:t>
      </w:r>
      <w:r w:rsidRPr="00B7358E">
        <w:rPr>
          <w:sz w:val="24"/>
          <w:szCs w:val="24"/>
        </w:rPr>
        <w:tab/>
      </w:r>
      <w:r w:rsidRPr="00B7358E">
        <w:rPr>
          <w:sz w:val="24"/>
          <w:szCs w:val="24"/>
          <w:u w:val="single"/>
        </w:rPr>
        <w:tab/>
      </w:r>
      <w:r w:rsidRPr="00B7358E">
        <w:rPr>
          <w:sz w:val="24"/>
          <w:szCs w:val="24"/>
          <w:u w:val="single"/>
        </w:rPr>
        <w:tab/>
      </w:r>
      <w:r w:rsidRPr="00B7358E">
        <w:rPr>
          <w:sz w:val="24"/>
          <w:szCs w:val="24"/>
          <w:u w:val="single"/>
        </w:rPr>
        <w:tab/>
      </w:r>
      <w:r w:rsidRPr="00B7358E">
        <w:rPr>
          <w:sz w:val="24"/>
          <w:szCs w:val="24"/>
          <w:u w:val="single"/>
        </w:rPr>
        <w:tab/>
      </w:r>
      <w:r w:rsidRPr="00B7358E">
        <w:rPr>
          <w:sz w:val="24"/>
          <w:szCs w:val="24"/>
          <w:u w:val="single"/>
        </w:rPr>
        <w:tab/>
      </w:r>
      <w:r w:rsidRPr="00B7358E">
        <w:rPr>
          <w:sz w:val="24"/>
          <w:szCs w:val="24"/>
          <w:u w:val="single"/>
        </w:rPr>
        <w:tab/>
      </w:r>
      <w:r w:rsidRPr="00B7358E">
        <w:rPr>
          <w:sz w:val="24"/>
          <w:szCs w:val="24"/>
          <w:u w:val="single"/>
        </w:rPr>
        <w:tab/>
      </w:r>
    </w:p>
    <w:p w:rsidR="00E32A8D" w:rsidRDefault="00E32A8D" w:rsidP="008A1A96">
      <w:pPr>
        <w:spacing w:after="0"/>
        <w:rPr>
          <w:b/>
          <w:sz w:val="28"/>
          <w:szCs w:val="28"/>
        </w:rPr>
      </w:pPr>
      <w:r w:rsidRPr="00E32A8D">
        <w:rPr>
          <w:b/>
          <w:sz w:val="28"/>
          <w:szCs w:val="28"/>
        </w:rPr>
        <w:t>Clarification of Issues</w:t>
      </w:r>
    </w:p>
    <w:p w:rsidR="008A1A96" w:rsidRDefault="008A1A96" w:rsidP="00490074">
      <w:pPr>
        <w:spacing w:after="0" w:line="240" w:lineRule="auto"/>
        <w:rPr>
          <w:b/>
          <w:sz w:val="28"/>
          <w:szCs w:val="28"/>
        </w:rPr>
      </w:pPr>
    </w:p>
    <w:p w:rsidR="00E32A8D" w:rsidRDefault="00E32A8D" w:rsidP="008A1A9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 I correct in my understanding that </w:t>
      </w:r>
      <w:r w:rsidR="008A1A96">
        <w:rPr>
          <w:sz w:val="24"/>
          <w:szCs w:val="24"/>
        </w:rPr>
        <w:t xml:space="preserve">in this proceeding </w:t>
      </w:r>
      <w:r>
        <w:rPr>
          <w:sz w:val="24"/>
          <w:szCs w:val="24"/>
        </w:rPr>
        <w:t xml:space="preserve">you will not consider the issue of whether or not </w:t>
      </w:r>
      <w:r w:rsidRPr="00E32A8D">
        <w:rPr>
          <w:sz w:val="24"/>
          <w:szCs w:val="24"/>
        </w:rPr>
        <w:t xml:space="preserve">fraud or similar fault was involved in the </w:t>
      </w:r>
      <w:r w:rsidR="008A1A96">
        <w:rPr>
          <w:sz w:val="24"/>
          <w:szCs w:val="24"/>
        </w:rPr>
        <w:t>previous determination that the claimant is entitled to disability</w:t>
      </w:r>
      <w:r w:rsidRPr="00E32A8D">
        <w:rPr>
          <w:sz w:val="24"/>
          <w:szCs w:val="24"/>
        </w:rPr>
        <w:t xml:space="preserve"> benefits</w:t>
      </w:r>
      <w:r>
        <w:rPr>
          <w:sz w:val="24"/>
          <w:szCs w:val="24"/>
        </w:rPr>
        <w:t>?</w:t>
      </w:r>
    </w:p>
    <w:p w:rsidR="00E32A8D" w:rsidRPr="00E32A8D" w:rsidRDefault="00E32A8D" w:rsidP="008A1A96">
      <w:pPr>
        <w:spacing w:after="0"/>
        <w:rPr>
          <w:sz w:val="24"/>
          <w:szCs w:val="24"/>
        </w:rPr>
      </w:pPr>
    </w:p>
    <w:p w:rsidR="00E32A8D" w:rsidRPr="008A1A96" w:rsidRDefault="00E32A8D" w:rsidP="008A1A96">
      <w:pPr>
        <w:pStyle w:val="ListParagraph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 w:rsidRPr="008A1A96">
        <w:rPr>
          <w:sz w:val="24"/>
          <w:szCs w:val="24"/>
        </w:rPr>
        <w:t xml:space="preserve">Am I correct in my understanding that </w:t>
      </w:r>
      <w:r w:rsidR="008A1A96" w:rsidRPr="008A1A96">
        <w:rPr>
          <w:sz w:val="24"/>
          <w:szCs w:val="24"/>
        </w:rPr>
        <w:t xml:space="preserve">in this proceeding </w:t>
      </w:r>
      <w:r w:rsidRPr="008A1A96">
        <w:rPr>
          <w:sz w:val="24"/>
          <w:szCs w:val="24"/>
        </w:rPr>
        <w:t xml:space="preserve">you will not consider </w:t>
      </w:r>
      <w:r w:rsidR="008A1A96" w:rsidRPr="008A1A96">
        <w:rPr>
          <w:sz w:val="24"/>
          <w:szCs w:val="24"/>
        </w:rPr>
        <w:t xml:space="preserve">whether </w:t>
      </w:r>
      <w:r w:rsidR="008A1A96">
        <w:rPr>
          <w:sz w:val="24"/>
          <w:szCs w:val="24"/>
        </w:rPr>
        <w:t xml:space="preserve">the claimant is </w:t>
      </w:r>
      <w:r w:rsidR="008A1A96" w:rsidRPr="008A1A96">
        <w:rPr>
          <w:sz w:val="24"/>
          <w:szCs w:val="24"/>
        </w:rPr>
        <w:t xml:space="preserve">eligible for benefits </w:t>
      </w:r>
      <w:r w:rsidR="008A1A96">
        <w:rPr>
          <w:sz w:val="24"/>
          <w:szCs w:val="24"/>
        </w:rPr>
        <w:t>after</w:t>
      </w:r>
      <w:r w:rsidR="008A1A96" w:rsidRPr="008A1A96">
        <w:rPr>
          <w:sz w:val="24"/>
          <w:szCs w:val="24"/>
        </w:rPr>
        <w:t xml:space="preserve"> the date SSA initially allowed the claim</w:t>
      </w:r>
      <w:r w:rsidR="008A1A96">
        <w:rPr>
          <w:sz w:val="24"/>
          <w:szCs w:val="24"/>
        </w:rPr>
        <w:t xml:space="preserve">, which is </w:t>
      </w:r>
      <w:r w:rsidR="00B61590">
        <w:rPr>
          <w:sz w:val="24"/>
          <w:szCs w:val="24"/>
          <w:u w:val="single"/>
        </w:rPr>
        <w:tab/>
      </w:r>
      <w:r w:rsidR="00B61590">
        <w:rPr>
          <w:sz w:val="24"/>
          <w:szCs w:val="24"/>
          <w:u w:val="single"/>
        </w:rPr>
        <w:tab/>
      </w:r>
      <w:r w:rsidR="00B61590">
        <w:rPr>
          <w:sz w:val="24"/>
          <w:szCs w:val="24"/>
          <w:u w:val="single"/>
        </w:rPr>
        <w:tab/>
      </w:r>
      <w:r w:rsidR="00B61590">
        <w:rPr>
          <w:sz w:val="24"/>
          <w:szCs w:val="24"/>
          <w:u w:val="single"/>
        </w:rPr>
        <w:tab/>
      </w:r>
      <w:r w:rsidR="00B61590">
        <w:rPr>
          <w:sz w:val="24"/>
          <w:szCs w:val="24"/>
          <w:u w:val="single"/>
        </w:rPr>
        <w:tab/>
      </w:r>
      <w:r w:rsidR="00B61590">
        <w:rPr>
          <w:sz w:val="24"/>
          <w:szCs w:val="24"/>
          <w:u w:val="single"/>
        </w:rPr>
        <w:tab/>
      </w:r>
      <w:r w:rsidR="008A1A96" w:rsidRPr="008A1A96">
        <w:rPr>
          <w:sz w:val="24"/>
          <w:szCs w:val="24"/>
        </w:rPr>
        <w:t>.</w:t>
      </w:r>
    </w:p>
    <w:p w:rsidR="00E32A8D" w:rsidRPr="00E32A8D" w:rsidRDefault="00E32A8D" w:rsidP="008A1A96">
      <w:pPr>
        <w:pStyle w:val="ListParagraph"/>
        <w:spacing w:after="0"/>
        <w:ind w:left="1080"/>
        <w:rPr>
          <w:b/>
          <w:sz w:val="28"/>
          <w:szCs w:val="28"/>
        </w:rPr>
      </w:pPr>
    </w:p>
    <w:p w:rsidR="008A1A96" w:rsidRDefault="008A1A96" w:rsidP="00E32A8D">
      <w:pPr>
        <w:rPr>
          <w:b/>
          <w:sz w:val="28"/>
          <w:szCs w:val="28"/>
        </w:rPr>
      </w:pPr>
      <w:r w:rsidRPr="008A1A96">
        <w:rPr>
          <w:b/>
          <w:sz w:val="28"/>
          <w:szCs w:val="28"/>
        </w:rPr>
        <w:t>Requests to Develop the Record</w:t>
      </w:r>
    </w:p>
    <w:p w:rsidR="008A1A96" w:rsidRDefault="00B61590" w:rsidP="00E32A8D">
      <w:pPr>
        <w:rPr>
          <w:b/>
          <w:sz w:val="24"/>
          <w:szCs w:val="24"/>
          <w:u w:val="single"/>
        </w:rPr>
      </w:pPr>
      <w:r>
        <w:rPr>
          <w:b/>
          <w:sz w:val="28"/>
          <w:szCs w:val="28"/>
        </w:rPr>
        <w:tab/>
      </w:r>
      <w:r w:rsidRPr="00B61590">
        <w:rPr>
          <w:b/>
          <w:sz w:val="24"/>
          <w:szCs w:val="24"/>
        </w:rPr>
        <w:t xml:space="preserve">Letter dated: </w:t>
      </w:r>
      <w:r w:rsidRPr="00B61590">
        <w:rPr>
          <w:b/>
          <w:sz w:val="24"/>
          <w:szCs w:val="24"/>
          <w:u w:val="single"/>
        </w:rPr>
        <w:tab/>
      </w:r>
      <w:r w:rsidRPr="00B61590">
        <w:rPr>
          <w:b/>
          <w:sz w:val="24"/>
          <w:szCs w:val="24"/>
          <w:u w:val="single"/>
        </w:rPr>
        <w:tab/>
      </w:r>
      <w:r w:rsidRPr="00B61590">
        <w:rPr>
          <w:b/>
          <w:sz w:val="24"/>
          <w:szCs w:val="24"/>
          <w:u w:val="single"/>
        </w:rPr>
        <w:tab/>
      </w:r>
      <w:r w:rsidRPr="00B61590">
        <w:rPr>
          <w:b/>
          <w:sz w:val="24"/>
          <w:szCs w:val="24"/>
          <w:u w:val="single"/>
        </w:rPr>
        <w:tab/>
      </w:r>
      <w:r w:rsidRPr="00B61590">
        <w:rPr>
          <w:b/>
          <w:sz w:val="24"/>
          <w:szCs w:val="24"/>
          <w:u w:val="single"/>
        </w:rPr>
        <w:tab/>
      </w:r>
      <w:r w:rsidRPr="00B61590">
        <w:rPr>
          <w:b/>
          <w:sz w:val="24"/>
          <w:szCs w:val="24"/>
        </w:rPr>
        <w:t xml:space="preserve">     Exhibit: </w:t>
      </w:r>
      <w:r w:rsidRPr="00B61590">
        <w:rPr>
          <w:b/>
          <w:sz w:val="24"/>
          <w:szCs w:val="24"/>
          <w:u w:val="single"/>
        </w:rPr>
        <w:tab/>
      </w:r>
      <w:r w:rsidRPr="00B61590">
        <w:rPr>
          <w:b/>
          <w:sz w:val="24"/>
          <w:szCs w:val="24"/>
          <w:u w:val="single"/>
        </w:rPr>
        <w:tab/>
      </w:r>
      <w:r w:rsidRPr="00B61590">
        <w:rPr>
          <w:b/>
          <w:sz w:val="24"/>
          <w:szCs w:val="24"/>
          <w:u w:val="single"/>
        </w:rPr>
        <w:tab/>
      </w:r>
    </w:p>
    <w:p w:rsidR="00E32A8D" w:rsidRDefault="008A1A96" w:rsidP="00E32A8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Request to Hold the Record Open for receipt of additional evidence.</w:t>
      </w:r>
    </w:p>
    <w:p w:rsidR="00B61590" w:rsidRPr="001A21C3" w:rsidRDefault="00B61590" w:rsidP="00E32A8D">
      <w:pPr>
        <w:rPr>
          <w:sz w:val="24"/>
          <w:szCs w:val="24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 xml:space="preserve">  </w:t>
      </w:r>
      <w:r>
        <w:rPr>
          <w:sz w:val="24"/>
          <w:szCs w:val="24"/>
        </w:rPr>
        <w:t>Granted. Record open until</w:t>
      </w:r>
      <w:r w:rsidR="001A21C3">
        <w:rPr>
          <w:sz w:val="24"/>
          <w:szCs w:val="24"/>
        </w:rPr>
        <w:t xml:space="preserve">: </w:t>
      </w:r>
      <w:r w:rsidR="001A21C3">
        <w:rPr>
          <w:sz w:val="24"/>
          <w:szCs w:val="24"/>
          <w:u w:val="single"/>
        </w:rPr>
        <w:tab/>
      </w:r>
      <w:r w:rsidR="001A21C3">
        <w:rPr>
          <w:sz w:val="24"/>
          <w:szCs w:val="24"/>
          <w:u w:val="single"/>
        </w:rPr>
        <w:tab/>
      </w:r>
      <w:r w:rsidR="001A21C3">
        <w:rPr>
          <w:sz w:val="24"/>
          <w:szCs w:val="24"/>
          <w:u w:val="single"/>
        </w:rPr>
        <w:tab/>
      </w:r>
      <w:r w:rsidR="001A21C3">
        <w:rPr>
          <w:sz w:val="24"/>
          <w:szCs w:val="24"/>
          <w:u w:val="single"/>
        </w:rPr>
        <w:tab/>
      </w:r>
      <w:r w:rsidR="001A21C3">
        <w:rPr>
          <w:sz w:val="24"/>
          <w:szCs w:val="24"/>
          <w:u w:val="single"/>
        </w:rPr>
        <w:tab/>
      </w:r>
    </w:p>
    <w:p w:rsidR="008A1A96" w:rsidRPr="008A1A96" w:rsidRDefault="00B61590" w:rsidP="00E32A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 Denied </w:t>
      </w:r>
    </w:p>
    <w:sectPr w:rsidR="008A1A96" w:rsidRPr="008A1A96" w:rsidSect="00B7358E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5C4"/>
    <w:multiLevelType w:val="hybridMultilevel"/>
    <w:tmpl w:val="D694666C"/>
    <w:lvl w:ilvl="0" w:tplc="391C6A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C2ADF"/>
    <w:multiLevelType w:val="hybridMultilevel"/>
    <w:tmpl w:val="539CF050"/>
    <w:lvl w:ilvl="0" w:tplc="391C6A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155498"/>
    <w:multiLevelType w:val="hybridMultilevel"/>
    <w:tmpl w:val="205013D0"/>
    <w:lvl w:ilvl="0" w:tplc="391C6A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54B53"/>
    <w:multiLevelType w:val="hybridMultilevel"/>
    <w:tmpl w:val="E9283D4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32A8D"/>
    <w:rsid w:val="00000BB6"/>
    <w:rsid w:val="000035EC"/>
    <w:rsid w:val="00021BC7"/>
    <w:rsid w:val="0003129C"/>
    <w:rsid w:val="00040252"/>
    <w:rsid w:val="00053F0C"/>
    <w:rsid w:val="00080515"/>
    <w:rsid w:val="000A360F"/>
    <w:rsid w:val="000C60C1"/>
    <w:rsid w:val="000D2990"/>
    <w:rsid w:val="000D5E07"/>
    <w:rsid w:val="000F7298"/>
    <w:rsid w:val="000F749C"/>
    <w:rsid w:val="001063C9"/>
    <w:rsid w:val="0018110A"/>
    <w:rsid w:val="00181EA8"/>
    <w:rsid w:val="00187BE5"/>
    <w:rsid w:val="00197EA1"/>
    <w:rsid w:val="001A21C3"/>
    <w:rsid w:val="001A4999"/>
    <w:rsid w:val="001A54DD"/>
    <w:rsid w:val="001A5671"/>
    <w:rsid w:val="001C74B5"/>
    <w:rsid w:val="001D2D7B"/>
    <w:rsid w:val="001E2B99"/>
    <w:rsid w:val="001E776A"/>
    <w:rsid w:val="001F0390"/>
    <w:rsid w:val="001F31BC"/>
    <w:rsid w:val="002177E2"/>
    <w:rsid w:val="00217A67"/>
    <w:rsid w:val="00226CE7"/>
    <w:rsid w:val="00260486"/>
    <w:rsid w:val="00275648"/>
    <w:rsid w:val="00275D9F"/>
    <w:rsid w:val="00276A4B"/>
    <w:rsid w:val="00293EC9"/>
    <w:rsid w:val="00296D42"/>
    <w:rsid w:val="002A1417"/>
    <w:rsid w:val="002D51FF"/>
    <w:rsid w:val="002D7CD0"/>
    <w:rsid w:val="002F1118"/>
    <w:rsid w:val="002F341A"/>
    <w:rsid w:val="003214B2"/>
    <w:rsid w:val="003473E9"/>
    <w:rsid w:val="0037343F"/>
    <w:rsid w:val="00380412"/>
    <w:rsid w:val="00391EBA"/>
    <w:rsid w:val="003D0351"/>
    <w:rsid w:val="003F4F43"/>
    <w:rsid w:val="00404C84"/>
    <w:rsid w:val="00407777"/>
    <w:rsid w:val="00430008"/>
    <w:rsid w:val="0044339B"/>
    <w:rsid w:val="00447E10"/>
    <w:rsid w:val="00454E2A"/>
    <w:rsid w:val="00463CF0"/>
    <w:rsid w:val="00467DF9"/>
    <w:rsid w:val="00472CEB"/>
    <w:rsid w:val="00490074"/>
    <w:rsid w:val="004C0E08"/>
    <w:rsid w:val="004C5902"/>
    <w:rsid w:val="004D7413"/>
    <w:rsid w:val="004E33B2"/>
    <w:rsid w:val="004E35BE"/>
    <w:rsid w:val="005038FB"/>
    <w:rsid w:val="00503AAA"/>
    <w:rsid w:val="00510A04"/>
    <w:rsid w:val="0052095A"/>
    <w:rsid w:val="00537B4B"/>
    <w:rsid w:val="00543836"/>
    <w:rsid w:val="00552417"/>
    <w:rsid w:val="00565EBB"/>
    <w:rsid w:val="005A06CC"/>
    <w:rsid w:val="005B0A9E"/>
    <w:rsid w:val="005C73CB"/>
    <w:rsid w:val="005D2858"/>
    <w:rsid w:val="005E3A06"/>
    <w:rsid w:val="005E61AD"/>
    <w:rsid w:val="00634F28"/>
    <w:rsid w:val="00635D57"/>
    <w:rsid w:val="00651002"/>
    <w:rsid w:val="00664E8A"/>
    <w:rsid w:val="006714DB"/>
    <w:rsid w:val="00672D00"/>
    <w:rsid w:val="00686BBD"/>
    <w:rsid w:val="006A0799"/>
    <w:rsid w:val="006B297F"/>
    <w:rsid w:val="006B76B2"/>
    <w:rsid w:val="006D74B3"/>
    <w:rsid w:val="006E79D0"/>
    <w:rsid w:val="006F51A7"/>
    <w:rsid w:val="00740F97"/>
    <w:rsid w:val="00752B58"/>
    <w:rsid w:val="00754CF4"/>
    <w:rsid w:val="0076039B"/>
    <w:rsid w:val="007609EA"/>
    <w:rsid w:val="007635C4"/>
    <w:rsid w:val="0076435A"/>
    <w:rsid w:val="00766716"/>
    <w:rsid w:val="00773735"/>
    <w:rsid w:val="007860A1"/>
    <w:rsid w:val="00786C02"/>
    <w:rsid w:val="007A35CA"/>
    <w:rsid w:val="007B0104"/>
    <w:rsid w:val="007B2341"/>
    <w:rsid w:val="007C30AC"/>
    <w:rsid w:val="0080697D"/>
    <w:rsid w:val="00826199"/>
    <w:rsid w:val="00845BAA"/>
    <w:rsid w:val="008658F9"/>
    <w:rsid w:val="0087194F"/>
    <w:rsid w:val="00872B75"/>
    <w:rsid w:val="008748FF"/>
    <w:rsid w:val="00892E8C"/>
    <w:rsid w:val="00893E5E"/>
    <w:rsid w:val="008A013C"/>
    <w:rsid w:val="008A1A96"/>
    <w:rsid w:val="008A4113"/>
    <w:rsid w:val="008B2D24"/>
    <w:rsid w:val="008B6F99"/>
    <w:rsid w:val="008C7E98"/>
    <w:rsid w:val="008D6C25"/>
    <w:rsid w:val="008E632D"/>
    <w:rsid w:val="008F425B"/>
    <w:rsid w:val="008F7E70"/>
    <w:rsid w:val="00905E9B"/>
    <w:rsid w:val="00916AC5"/>
    <w:rsid w:val="0092644E"/>
    <w:rsid w:val="0093161E"/>
    <w:rsid w:val="00934C2C"/>
    <w:rsid w:val="0095460D"/>
    <w:rsid w:val="009562FA"/>
    <w:rsid w:val="00974413"/>
    <w:rsid w:val="009B5458"/>
    <w:rsid w:val="009C2B82"/>
    <w:rsid w:val="009E4DBC"/>
    <w:rsid w:val="009E7B9C"/>
    <w:rsid w:val="009F088B"/>
    <w:rsid w:val="00A20878"/>
    <w:rsid w:val="00A23A4C"/>
    <w:rsid w:val="00A66216"/>
    <w:rsid w:val="00A76762"/>
    <w:rsid w:val="00AC65E2"/>
    <w:rsid w:val="00AD0774"/>
    <w:rsid w:val="00AE0C48"/>
    <w:rsid w:val="00B06B92"/>
    <w:rsid w:val="00B10B47"/>
    <w:rsid w:val="00B36728"/>
    <w:rsid w:val="00B61590"/>
    <w:rsid w:val="00B625CD"/>
    <w:rsid w:val="00B7358E"/>
    <w:rsid w:val="00B83F38"/>
    <w:rsid w:val="00B92268"/>
    <w:rsid w:val="00BA65DF"/>
    <w:rsid w:val="00BA7740"/>
    <w:rsid w:val="00BB3BA5"/>
    <w:rsid w:val="00BC5CCE"/>
    <w:rsid w:val="00BD1223"/>
    <w:rsid w:val="00BD53C0"/>
    <w:rsid w:val="00BD708E"/>
    <w:rsid w:val="00BE12BF"/>
    <w:rsid w:val="00BE30CB"/>
    <w:rsid w:val="00BE4ABE"/>
    <w:rsid w:val="00BE4E96"/>
    <w:rsid w:val="00BF1E98"/>
    <w:rsid w:val="00BF55FB"/>
    <w:rsid w:val="00C06642"/>
    <w:rsid w:val="00C1152D"/>
    <w:rsid w:val="00C2179A"/>
    <w:rsid w:val="00C31D07"/>
    <w:rsid w:val="00C37290"/>
    <w:rsid w:val="00C44D57"/>
    <w:rsid w:val="00C5362A"/>
    <w:rsid w:val="00C64AFB"/>
    <w:rsid w:val="00C77D0D"/>
    <w:rsid w:val="00C85F2C"/>
    <w:rsid w:val="00C93E0A"/>
    <w:rsid w:val="00CC419E"/>
    <w:rsid w:val="00CC7062"/>
    <w:rsid w:val="00CD0467"/>
    <w:rsid w:val="00CD719D"/>
    <w:rsid w:val="00CE07C8"/>
    <w:rsid w:val="00CF19C0"/>
    <w:rsid w:val="00D03D35"/>
    <w:rsid w:val="00D32C8D"/>
    <w:rsid w:val="00D34BBE"/>
    <w:rsid w:val="00D36552"/>
    <w:rsid w:val="00D46346"/>
    <w:rsid w:val="00D55172"/>
    <w:rsid w:val="00D83AC8"/>
    <w:rsid w:val="00D91941"/>
    <w:rsid w:val="00DC0464"/>
    <w:rsid w:val="00DC5CBE"/>
    <w:rsid w:val="00DC6080"/>
    <w:rsid w:val="00DD3E99"/>
    <w:rsid w:val="00DD7F4D"/>
    <w:rsid w:val="00E140AB"/>
    <w:rsid w:val="00E32A8D"/>
    <w:rsid w:val="00E4740D"/>
    <w:rsid w:val="00E55B1F"/>
    <w:rsid w:val="00E844FD"/>
    <w:rsid w:val="00E94A75"/>
    <w:rsid w:val="00E94D0D"/>
    <w:rsid w:val="00E95862"/>
    <w:rsid w:val="00EB39F6"/>
    <w:rsid w:val="00EB4241"/>
    <w:rsid w:val="00EE19E8"/>
    <w:rsid w:val="00EF1D75"/>
    <w:rsid w:val="00F03BF8"/>
    <w:rsid w:val="00F04C8D"/>
    <w:rsid w:val="00F05E95"/>
    <w:rsid w:val="00F15F47"/>
    <w:rsid w:val="00F25458"/>
    <w:rsid w:val="00F30E2E"/>
    <w:rsid w:val="00F35E07"/>
    <w:rsid w:val="00F40420"/>
    <w:rsid w:val="00F44BD8"/>
    <w:rsid w:val="00F57528"/>
    <w:rsid w:val="00F77D5F"/>
    <w:rsid w:val="00F86676"/>
    <w:rsid w:val="00F9299A"/>
    <w:rsid w:val="00FA2495"/>
    <w:rsid w:val="00FA49F9"/>
    <w:rsid w:val="00FB30C3"/>
    <w:rsid w:val="00FD2331"/>
    <w:rsid w:val="00FD6068"/>
    <w:rsid w:val="00FF6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836"/>
  </w:style>
  <w:style w:type="paragraph" w:styleId="Heading1">
    <w:name w:val="heading 1"/>
    <w:basedOn w:val="Normal"/>
    <w:next w:val="Normal"/>
    <w:link w:val="Heading1Char"/>
    <w:uiPriority w:val="9"/>
    <w:qFormat/>
    <w:rsid w:val="00B73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2A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2A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32A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3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5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2A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2A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32A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735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657E0-BB99-4EF3-B1E1-D8394DC3C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Goss</dc:creator>
  <cp:lastModifiedBy>lorief</cp:lastModifiedBy>
  <cp:revision>2</cp:revision>
  <dcterms:created xsi:type="dcterms:W3CDTF">2015-12-23T19:55:00Z</dcterms:created>
  <dcterms:modified xsi:type="dcterms:W3CDTF">2015-12-23T19:55:00Z</dcterms:modified>
</cp:coreProperties>
</file>